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24" w:rsidRPr="0089643D" w:rsidRDefault="00D15F24" w:rsidP="00BC610E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Ministry of Education and Science of Ukraine</w:t>
      </w:r>
    </w:p>
    <w:p w:rsidR="00D15F24" w:rsidRPr="0089643D" w:rsidRDefault="00D15F24" w:rsidP="00BC610E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  <w:proofErr w:type="spellStart"/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Pavlo</w:t>
      </w:r>
      <w:proofErr w:type="spellEnd"/>
      <w:r w:rsidR="0089643D"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Tychyna</w:t>
      </w:r>
      <w:proofErr w:type="spellEnd"/>
      <w:r w:rsidR="0089643D"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Uman</w:t>
      </w:r>
      <w:proofErr w:type="spellEnd"/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State Pedagogical University</w:t>
      </w:r>
    </w:p>
    <w:p w:rsidR="00D15F24" w:rsidRPr="0089643D" w:rsidRDefault="00444A96" w:rsidP="00BC610E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  <w:hyperlink r:id="rId5" w:history="1">
        <w:r w:rsidR="00634BE0" w:rsidRPr="0089643D">
          <w:rPr>
            <w:rFonts w:ascii="Times New Roman" w:hAnsi="Times New Roman" w:cs="Times New Roman"/>
            <w:b/>
            <w:sz w:val="28"/>
            <w:szCs w:val="28"/>
            <w:lang w:val="en-US"/>
          </w:rPr>
          <w:t>Institute of Economics and Business Education</w:t>
        </w:r>
      </w:hyperlink>
    </w:p>
    <w:p w:rsidR="00D15F24" w:rsidRPr="0089643D" w:rsidRDefault="00044665" w:rsidP="00BC610E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  <w:lang w:val="en-US"/>
        </w:rPr>
      </w:pPr>
      <w:r w:rsidRPr="0089643D">
        <w:rPr>
          <w:b/>
          <w:sz w:val="28"/>
          <w:szCs w:val="28"/>
          <w:lang w:val="en-US"/>
        </w:rPr>
        <w:t xml:space="preserve">The Academy of Hotel </w:t>
      </w:r>
      <w:bookmarkStart w:id="0" w:name="_GoBack"/>
      <w:bookmarkEnd w:id="0"/>
      <w:r w:rsidRPr="0089643D">
        <w:rPr>
          <w:b/>
          <w:sz w:val="28"/>
          <w:szCs w:val="28"/>
          <w:lang w:val="en-US"/>
        </w:rPr>
        <w:t>Management and Catering Industry in Poznan</w:t>
      </w:r>
      <w:r w:rsidR="00D15F24" w:rsidRPr="0089643D">
        <w:rPr>
          <w:b/>
          <w:sz w:val="28"/>
          <w:szCs w:val="28"/>
          <w:lang w:val="en-US"/>
        </w:rPr>
        <w:t xml:space="preserve"> (</w:t>
      </w:r>
      <w:r w:rsidRPr="0089643D">
        <w:rPr>
          <w:b/>
          <w:sz w:val="28"/>
          <w:szCs w:val="28"/>
          <w:lang w:val="en-US"/>
        </w:rPr>
        <w:t>Poland</w:t>
      </w:r>
      <w:r w:rsidR="00D15F24" w:rsidRPr="0089643D">
        <w:rPr>
          <w:b/>
          <w:sz w:val="28"/>
          <w:szCs w:val="28"/>
          <w:lang w:val="en-US"/>
        </w:rPr>
        <w:t>)</w:t>
      </w:r>
    </w:p>
    <w:p w:rsidR="00D15F24" w:rsidRPr="0089643D" w:rsidRDefault="00E65D58" w:rsidP="00BC610E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  <w:lang w:val="en-US"/>
        </w:rPr>
      </w:pPr>
      <w:r w:rsidRPr="0089643D">
        <w:rPr>
          <w:b/>
          <w:sz w:val="28"/>
          <w:szCs w:val="28"/>
          <w:lang w:val="en-US"/>
        </w:rPr>
        <w:t>Baku Business University</w:t>
      </w:r>
      <w:r w:rsidR="00D15F24" w:rsidRPr="0089643D">
        <w:rPr>
          <w:b/>
          <w:sz w:val="28"/>
          <w:szCs w:val="28"/>
          <w:lang w:val="en-US"/>
        </w:rPr>
        <w:t xml:space="preserve"> (</w:t>
      </w:r>
      <w:r w:rsidRPr="0089643D">
        <w:rPr>
          <w:b/>
          <w:bCs/>
          <w:sz w:val="28"/>
          <w:szCs w:val="28"/>
          <w:lang w:val="en-US"/>
        </w:rPr>
        <w:t>Azerbaijan</w:t>
      </w:r>
      <w:r w:rsidR="00D15F24" w:rsidRPr="0089643D">
        <w:rPr>
          <w:b/>
          <w:sz w:val="28"/>
          <w:szCs w:val="28"/>
          <w:lang w:val="en-US"/>
        </w:rPr>
        <w:t xml:space="preserve">) </w:t>
      </w:r>
    </w:p>
    <w:p w:rsidR="00D15F24" w:rsidRPr="0089643D" w:rsidRDefault="00D15F24" w:rsidP="00BC610E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Batumi</w:t>
      </w:r>
      <w:r w:rsidR="0089643D"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Shota</w:t>
      </w:r>
      <w:proofErr w:type="spellEnd"/>
      <w:r w:rsidR="0089643D"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Rustaveli</w:t>
      </w:r>
      <w:proofErr w:type="spellEnd"/>
      <w:r w:rsidR="0089643D"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</w:t>
      </w: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State</w:t>
      </w:r>
      <w:r w:rsidR="0089643D"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 xml:space="preserve"> </w:t>
      </w: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University (Georgia)</w:t>
      </w:r>
    </w:p>
    <w:p w:rsidR="00D15F24" w:rsidRPr="0089643D" w:rsidRDefault="00E65D58" w:rsidP="00BC610E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  <w:lang w:val="en-US"/>
        </w:rPr>
      </w:pPr>
      <w:r w:rsidRPr="0089643D">
        <w:rPr>
          <w:b/>
          <w:sz w:val="28"/>
          <w:szCs w:val="28"/>
          <w:lang w:val="en-US"/>
        </w:rPr>
        <w:t xml:space="preserve">Information Systems Management </w:t>
      </w:r>
      <w:r w:rsidR="00C90EEF" w:rsidRPr="0089643D">
        <w:rPr>
          <w:b/>
          <w:bCs/>
          <w:color w:val="1B1B1B"/>
          <w:sz w:val="28"/>
          <w:szCs w:val="36"/>
          <w:lang w:val="en-US"/>
        </w:rPr>
        <w:t>University</w:t>
      </w:r>
      <w:r w:rsidR="00D15F24" w:rsidRPr="0089643D">
        <w:rPr>
          <w:b/>
          <w:sz w:val="28"/>
          <w:szCs w:val="28"/>
          <w:lang w:val="en-US"/>
        </w:rPr>
        <w:t xml:space="preserve"> (</w:t>
      </w:r>
      <w:r w:rsidRPr="0089643D">
        <w:rPr>
          <w:b/>
          <w:sz w:val="28"/>
          <w:szCs w:val="28"/>
          <w:lang w:val="en-US"/>
        </w:rPr>
        <w:t>Latvia</w:t>
      </w:r>
      <w:r w:rsidR="00D15F24" w:rsidRPr="0089643D">
        <w:rPr>
          <w:b/>
          <w:sz w:val="28"/>
          <w:szCs w:val="28"/>
          <w:lang w:val="en-US"/>
        </w:rPr>
        <w:t>)</w:t>
      </w:r>
    </w:p>
    <w:p w:rsidR="00D15F24" w:rsidRPr="0089643D" w:rsidRDefault="00C90EEF" w:rsidP="00BC610E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  <w:lang w:val="en-US"/>
        </w:rPr>
      </w:pPr>
      <w:r w:rsidRPr="0089643D">
        <w:rPr>
          <w:b/>
          <w:bCs/>
          <w:color w:val="1B1B1B"/>
          <w:sz w:val="28"/>
          <w:szCs w:val="36"/>
          <w:lang w:val="en-US"/>
        </w:rPr>
        <w:t>Warsaw Management University</w:t>
      </w:r>
      <w:r w:rsidR="00D15F24" w:rsidRPr="0089643D">
        <w:rPr>
          <w:b/>
          <w:sz w:val="28"/>
          <w:szCs w:val="28"/>
          <w:lang w:val="en-US"/>
        </w:rPr>
        <w:t xml:space="preserve"> (</w:t>
      </w:r>
      <w:r w:rsidR="00044665" w:rsidRPr="0089643D">
        <w:rPr>
          <w:b/>
          <w:sz w:val="28"/>
          <w:szCs w:val="28"/>
          <w:lang w:val="en-US"/>
        </w:rPr>
        <w:t>Poland</w:t>
      </w:r>
      <w:r w:rsidR="00D15F24" w:rsidRPr="0089643D">
        <w:rPr>
          <w:b/>
          <w:sz w:val="28"/>
          <w:szCs w:val="28"/>
          <w:lang w:val="en-US"/>
        </w:rPr>
        <w:t>)</w:t>
      </w:r>
    </w:p>
    <w:p w:rsidR="00D15F24" w:rsidRPr="0089643D" w:rsidRDefault="00D15F24" w:rsidP="00BC610E">
      <w:pPr>
        <w:shd w:val="clear" w:color="auto" w:fill="FFFFFF"/>
        <w:spacing w:after="0" w:line="264" w:lineRule="auto"/>
        <w:ind w:firstLine="709"/>
        <w:jc w:val="center"/>
        <w:rPr>
          <w:rFonts w:ascii="Verdana" w:hAnsi="Verdana" w:cs="Arial"/>
          <w:caps/>
          <w:color w:val="031B48"/>
          <w:sz w:val="29"/>
          <w:szCs w:val="29"/>
          <w:lang w:val="en-US"/>
        </w:rPr>
      </w:pPr>
    </w:p>
    <w:p w:rsidR="00D15F24" w:rsidRPr="0089643D" w:rsidRDefault="00D15F24" w:rsidP="00BC610E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International</w:t>
      </w:r>
      <w:r w:rsidR="0089643D">
        <w:rPr>
          <w:rFonts w:ascii="Times New Roman" w:hAnsi="Times New Roman" w:cs="Times New Roman"/>
          <w:b/>
          <w:kern w:val="28"/>
          <w:sz w:val="32"/>
          <w:szCs w:val="32"/>
          <w:lang w:val="uk-UA"/>
        </w:rPr>
        <w:t xml:space="preserve"> </w:t>
      </w:r>
      <w:r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Scientific</w:t>
      </w:r>
      <w:r w:rsidR="0089643D">
        <w:rPr>
          <w:rFonts w:ascii="Times New Roman" w:hAnsi="Times New Roman" w:cs="Times New Roman"/>
          <w:b/>
          <w:kern w:val="28"/>
          <w:sz w:val="32"/>
          <w:szCs w:val="32"/>
          <w:lang w:val="uk-UA"/>
        </w:rPr>
        <w:t xml:space="preserve"> </w:t>
      </w:r>
      <w:r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and</w:t>
      </w:r>
      <w:r w:rsidR="0089643D">
        <w:rPr>
          <w:rFonts w:ascii="Times New Roman" w:hAnsi="Times New Roman" w:cs="Times New Roman"/>
          <w:b/>
          <w:kern w:val="28"/>
          <w:sz w:val="32"/>
          <w:szCs w:val="32"/>
          <w:lang w:val="uk-UA"/>
        </w:rPr>
        <w:t xml:space="preserve"> </w:t>
      </w:r>
      <w:r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Practical</w:t>
      </w:r>
      <w:r w:rsidR="0089643D">
        <w:rPr>
          <w:rFonts w:ascii="Times New Roman" w:hAnsi="Times New Roman" w:cs="Times New Roman"/>
          <w:b/>
          <w:kern w:val="28"/>
          <w:sz w:val="32"/>
          <w:szCs w:val="32"/>
          <w:lang w:val="uk-UA"/>
        </w:rPr>
        <w:t xml:space="preserve"> </w:t>
      </w:r>
      <w:r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Conference</w:t>
      </w:r>
    </w:p>
    <w:p w:rsidR="00D15F24" w:rsidRPr="0089643D" w:rsidRDefault="00D15F24" w:rsidP="00E42F88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«</w:t>
      </w:r>
      <w:r w:rsidR="00E42F88"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 xml:space="preserve">The </w:t>
      </w:r>
      <w:r w:rsidR="00E42F88" w:rsidRPr="0089643D">
        <w:rPr>
          <w:rFonts w:ascii="Times New Roman" w:hAnsi="Times New Roman" w:cs="Times New Roman"/>
          <w:b/>
          <w:sz w:val="32"/>
          <w:szCs w:val="32"/>
          <w:lang w:val="en-US"/>
        </w:rPr>
        <w:t>Challenges of Financing for Economic and Social Development</w:t>
      </w:r>
      <w:r w:rsidRPr="0089643D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»</w:t>
      </w:r>
    </w:p>
    <w:p w:rsidR="00C90EEF" w:rsidRPr="0089643D" w:rsidRDefault="00C90EEF" w:rsidP="00BC610E">
      <w:pPr>
        <w:shd w:val="clear" w:color="auto" w:fill="FFFFFF"/>
        <w:spacing w:after="0" w:line="264" w:lineRule="auto"/>
        <w:ind w:firstLine="709"/>
        <w:jc w:val="center"/>
        <w:rPr>
          <w:color w:val="666666"/>
          <w:sz w:val="21"/>
          <w:szCs w:val="21"/>
          <w:lang w:val="en-US"/>
        </w:rPr>
      </w:pPr>
    </w:p>
    <w:p w:rsidR="00D15F24" w:rsidRPr="0089643D" w:rsidRDefault="00D15F24" w:rsidP="00BC610E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Dear colleagues!</w:t>
      </w:r>
    </w:p>
    <w:p w:rsidR="00D15F24" w:rsidRPr="0089643D" w:rsidRDefault="00D15F24" w:rsidP="0061193E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The organizing committee has a nice opportunity to invite you to participate in the </w:t>
      </w: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International Scientific and Practical Conference: «</w:t>
      </w:r>
      <w:r w:rsidR="00090398" w:rsidRPr="0089643D">
        <w:rPr>
          <w:rFonts w:ascii="Times New Roman" w:hAnsi="Times New Roman" w:cs="Times New Roman"/>
          <w:b/>
          <w:kern w:val="28"/>
          <w:sz w:val="28"/>
          <w:szCs w:val="32"/>
          <w:lang w:val="en-US"/>
        </w:rPr>
        <w:t xml:space="preserve">The </w:t>
      </w:r>
      <w:r w:rsidR="00090398" w:rsidRPr="0089643D">
        <w:rPr>
          <w:rFonts w:ascii="Times New Roman" w:hAnsi="Times New Roman" w:cs="Times New Roman"/>
          <w:b/>
          <w:sz w:val="28"/>
          <w:szCs w:val="32"/>
          <w:lang w:val="en-US"/>
        </w:rPr>
        <w:t>Challenges of Financing for Economic and Social Development</w:t>
      </w: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»</w:t>
      </w:r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, which will be held on </w:t>
      </w: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May 26, 2016</w:t>
      </w:r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at </w:t>
      </w:r>
      <w:proofErr w:type="spellStart"/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>Pavlo</w:t>
      </w:r>
      <w:proofErr w:type="spellEnd"/>
      <w:r w:rsidR="0089643D"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>Tychyna</w:t>
      </w:r>
      <w:proofErr w:type="spellEnd"/>
      <w:r w:rsidR="0089643D"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>Uman</w:t>
      </w:r>
      <w:proofErr w:type="spellEnd"/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State Pedagogical University, 2, </w:t>
      </w:r>
      <w:proofErr w:type="spellStart"/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>Sadova</w:t>
      </w:r>
      <w:proofErr w:type="spellEnd"/>
      <w:r w:rsidRPr="0089643D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Street.</w:t>
      </w:r>
    </w:p>
    <w:p w:rsidR="00D15F24" w:rsidRPr="0089643D" w:rsidRDefault="00D15F24" w:rsidP="00BC610E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</w:p>
    <w:p w:rsidR="00D15F24" w:rsidRPr="0089643D" w:rsidRDefault="00D15F24" w:rsidP="00BC610E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Themes of the conference:</w:t>
      </w:r>
    </w:p>
    <w:p w:rsidR="00D15F24" w:rsidRPr="0089643D" w:rsidRDefault="00090398" w:rsidP="00090398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Macroeconomic aspects of socio-economic development.</w:t>
      </w:r>
    </w:p>
    <w:p w:rsidR="009B75EB" w:rsidRPr="0089643D" w:rsidRDefault="009B75EB" w:rsidP="009B75EB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The organizational and legal foundations of the financial mechanism.</w:t>
      </w:r>
    </w:p>
    <w:p w:rsidR="009B75EB" w:rsidRPr="0089643D" w:rsidRDefault="009B75EB" w:rsidP="009B75EB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National practice of the financial systems development.</w:t>
      </w:r>
    </w:p>
    <w:p w:rsidR="009B75EB" w:rsidRPr="0089643D" w:rsidRDefault="009B75EB" w:rsidP="009B75EB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Contemporary economic and financial management.</w:t>
      </w:r>
    </w:p>
    <w:p w:rsidR="009B75EB" w:rsidRPr="0089643D" w:rsidRDefault="009B75EB" w:rsidP="009B75EB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Ways to building financial and economic security.</w:t>
      </w:r>
    </w:p>
    <w:p w:rsidR="00AB0A3B" w:rsidRPr="0089643D" w:rsidRDefault="009B75EB" w:rsidP="008702E5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The international experience </w:t>
      </w:r>
      <w:r w:rsidR="00AB0A3B" w:rsidRPr="0089643D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r w:rsidR="008964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AB0A3B" w:rsidRPr="008964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the </w:t>
      </w: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form</w:t>
      </w:r>
      <w:r w:rsidR="00AB0A3B" w:rsidRPr="0089643D">
        <w:rPr>
          <w:rFonts w:ascii="Times New Roman" w:hAnsi="Times New Roman" w:cs="Times New Roman"/>
          <w:i/>
          <w:color w:val="000000"/>
          <w:sz w:val="28"/>
          <w:szCs w:val="28"/>
        </w:rPr>
        <w:t>ation</w:t>
      </w:r>
      <w:r w:rsidR="0089643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AB0A3B" w:rsidRPr="008964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the </w:t>
      </w: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innovative economy</w:t>
      </w:r>
      <w:r w:rsidR="00AB0A3B" w:rsidRPr="0089643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B0A3B" w:rsidRPr="0089643D" w:rsidRDefault="00AB0A3B" w:rsidP="008702E5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643D">
        <w:rPr>
          <w:rFonts w:ascii="Times New Roman" w:hAnsi="Times New Roman" w:cs="Times New Roman"/>
          <w:i/>
          <w:color w:val="000000"/>
          <w:sz w:val="28"/>
          <w:szCs w:val="28"/>
        </w:rPr>
        <w:t>Knowledge-based social and economic development strategies.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Papers will be published in the joint monograph.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643D">
        <w:rPr>
          <w:rFonts w:ascii="Times New Roman" w:hAnsi="Times New Roman" w:cs="Times New Roman"/>
          <w:sz w:val="28"/>
          <w:szCs w:val="28"/>
          <w:lang w:val="en-US"/>
        </w:rPr>
        <w:t>Working languages: Ukrainian, Russian, Polish and English.</w:t>
      </w:r>
      <w:proofErr w:type="gramEnd"/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To participate in the conference should be sent: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AB0A3B" w:rsidRPr="0089643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9643D">
        <w:rPr>
          <w:rFonts w:ascii="Times New Roman" w:hAnsi="Times New Roman" w:cs="Times New Roman"/>
          <w:sz w:val="28"/>
          <w:szCs w:val="28"/>
          <w:lang w:val="en-US"/>
        </w:rPr>
        <w:t>article</w:t>
      </w:r>
      <w:proofErr w:type="spellEnd"/>
      <w:proofErr w:type="gram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(named number of the chosen direction and the author's name, for example, 5Petrenko.doc);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9643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application for participation in the conference (application form attached);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9643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scanned copy of the receipt editorial and publishing services and organizational assessment (provided directly involved in the conference).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After receiving and reviewing the materials committee inform the authors for their adoption.</w:t>
      </w:r>
    </w:p>
    <w:p w:rsidR="00BC610E" w:rsidRPr="0089643D" w:rsidRDefault="00BC610E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643D">
        <w:rPr>
          <w:rFonts w:ascii="Times New Roman" w:hAnsi="Times New Roman" w:cs="Times New Roman"/>
          <w:sz w:val="28"/>
          <w:szCs w:val="28"/>
          <w:lang w:val="en-US"/>
        </w:rPr>
        <w:t>Deadline to submit materials – May 10, 2015.</w:t>
      </w:r>
      <w:proofErr w:type="gram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The paper should contain the following essential elements: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- Statement of the problem in general;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- Summary of main results with full justification of scientific results;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lastRenderedPageBreak/>
        <w:t>- Conclusions of this study;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- List of sources used (in accordance with the new standard bibliographic description of DSTU GOST 7.1:2006). 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Requirements for registration: r</w:t>
      </w:r>
      <w:r w:rsidR="00090398" w:rsidRPr="0089643D">
        <w:rPr>
          <w:rFonts w:ascii="Times New Roman" w:hAnsi="Times New Roman" w:cs="Times New Roman"/>
          <w:sz w:val="28"/>
          <w:szCs w:val="28"/>
          <w:lang w:val="en-US"/>
        </w:rPr>
        <w:t>eports accepted format Word (*.d</w:t>
      </w:r>
      <w:r w:rsidRPr="0089643D">
        <w:rPr>
          <w:rFonts w:ascii="Times New Roman" w:hAnsi="Times New Roman" w:cs="Times New Roman"/>
          <w:sz w:val="28"/>
          <w:szCs w:val="28"/>
          <w:lang w:val="en-US"/>
        </w:rPr>
        <w:t>oc) volume 6-15 pages A-4 format, with 1.5 intervals. Fields: all - 2</w:t>
      </w:r>
      <w:proofErr w:type="gramStart"/>
      <w:r w:rsidRPr="0089643D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cm, paragraph - indent by 1.25 cm Font: Times New Roman, size - 14. The name is written in capital letters (font: Times New Roman, size - 14), stands in bold and placed in the center. After the name of the report right - surname and initials of the author (s). For a set of tables used by utilities built into Word. The formulas are made through the equation editor «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>», character size 10, length formulas should be no more than 80 mm, Latin characters are typed in italics, Greek - Roman type, Cyrillic - are excluded. Pictures made by vectors should be placed one object or grouped. Scanned pictures comply with a possibility of at least 300 dpi.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Reports must be sent in electronic form by email at: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t>fin_kafedra2015@ukr.net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Articles that do not meet the requirements, sent without the money order or sent after the deadline will not be considered. 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Financial terms: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1. Travel expenses (travel, accommodation, meals, etc.) are paid by the participants own expense or at the expense of the parties that sends them.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2. The cost of publication for participants from Ukraine is UAH 30 per 1 printed page (including the cost of sending one copy of the monograph).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3. The cost of publishing articles for international participants is 40 € (shipping cost including 1 monograph instance).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4. For direct participation in the conference registration fee must be paid. </w:t>
      </w:r>
      <w:proofErr w:type="gramStart"/>
      <w:r w:rsidRPr="0089643D">
        <w:rPr>
          <w:rFonts w:ascii="Times New Roman" w:hAnsi="Times New Roman" w:cs="Times New Roman"/>
          <w:sz w:val="28"/>
          <w:szCs w:val="28"/>
          <w:lang w:val="en-US"/>
        </w:rPr>
        <w:t>150 UAH from each participant (for the preparation and conduct of protocol measures in accordance with the program of the conference).</w:t>
      </w:r>
      <w:proofErr w:type="gram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For foreign participants registration fee must be equivalent to the amount of 15 € (possible calculation on arrival). 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Conference registration fee transfer in accordance with following references: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Liudmila</w:t>
      </w:r>
      <w:proofErr w:type="spellEnd"/>
      <w:r w:rsidR="0089643D"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Chvertko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>, current account 29244825509100 at commercial bank «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Bank», MFO 305299,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, code OKPO 14360570, card account 5168 7572 2928 7158, must specify «For participating in the conference», Name of the author (s). </w:t>
      </w: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5F24" w:rsidRPr="0089643D" w:rsidRDefault="00D15F24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Publication payment details of the registration fee are sent by email to each foreign participant individually. </w:t>
      </w:r>
    </w:p>
    <w:p w:rsidR="00D15F24" w:rsidRPr="0089643D" w:rsidRDefault="00D15F24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APPLICATION</w:t>
      </w:r>
    </w:p>
    <w:p w:rsidR="00D15F24" w:rsidRPr="0089643D" w:rsidRDefault="0089643D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5F24" w:rsidRPr="0089643D">
        <w:rPr>
          <w:rFonts w:ascii="Times New Roman" w:hAnsi="Times New Roman" w:cs="Times New Roman"/>
          <w:b/>
          <w:sz w:val="28"/>
          <w:szCs w:val="28"/>
          <w:lang w:val="en-US"/>
        </w:rPr>
        <w:t>conference</w:t>
      </w:r>
    </w:p>
    <w:p w:rsidR="00D15F24" w:rsidRPr="0089643D" w:rsidRDefault="00D15F24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AB0A3B" w:rsidRPr="0089643D">
        <w:rPr>
          <w:rFonts w:ascii="Times New Roman" w:hAnsi="Times New Roman" w:cs="Times New Roman"/>
          <w:b/>
          <w:kern w:val="28"/>
          <w:sz w:val="28"/>
          <w:szCs w:val="32"/>
          <w:lang w:val="en-US"/>
        </w:rPr>
        <w:t xml:space="preserve">The </w:t>
      </w:r>
      <w:r w:rsidR="00AB0A3B" w:rsidRPr="0089643D">
        <w:rPr>
          <w:rFonts w:ascii="Times New Roman" w:hAnsi="Times New Roman" w:cs="Times New Roman"/>
          <w:b/>
          <w:sz w:val="28"/>
          <w:szCs w:val="32"/>
          <w:lang w:val="en-US"/>
        </w:rPr>
        <w:t>Challenges of Financing for Economic and Social Development</w:t>
      </w:r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D15F24" w:rsidRPr="0089643D" w:rsidRDefault="00D15F24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10"/>
      </w:tblGrid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name, first name, middle name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degree, academic title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work (study)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 address (with postal code)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phone number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section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report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15F24" w:rsidRPr="0089643D" w:rsidTr="000311F8">
        <w:trPr>
          <w:jc w:val="center"/>
        </w:trPr>
        <w:tc>
          <w:tcPr>
            <w:tcW w:w="4428" w:type="dxa"/>
          </w:tcPr>
          <w:p w:rsidR="00D15F24" w:rsidRPr="0089643D" w:rsidRDefault="00D15F24" w:rsidP="00BC610E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of participation:</w:t>
            </w:r>
          </w:p>
          <w:p w:rsidR="00D15F24" w:rsidRPr="0089643D" w:rsidRDefault="00D15F24" w:rsidP="00BC610E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Performance of report</w:t>
            </w:r>
          </w:p>
          <w:p w:rsidR="00D15F24" w:rsidRPr="0089643D" w:rsidRDefault="00D15F24" w:rsidP="00BC610E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Participation as a listener</w:t>
            </w:r>
          </w:p>
          <w:p w:rsidR="00D15F24" w:rsidRPr="0089643D" w:rsidRDefault="00D15F24" w:rsidP="00BC610E">
            <w:pPr>
              <w:tabs>
                <w:tab w:val="left" w:pos="176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Only the publication of the article</w:t>
            </w:r>
          </w:p>
        </w:tc>
        <w:tc>
          <w:tcPr>
            <w:tcW w:w="5210" w:type="dxa"/>
          </w:tcPr>
          <w:p w:rsidR="00D15F24" w:rsidRPr="0089643D" w:rsidRDefault="00D15F24" w:rsidP="00BC610E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15F24" w:rsidRPr="0089643D" w:rsidRDefault="00D15F24" w:rsidP="00BC610E">
      <w:pPr>
        <w:spacing w:after="0" w:line="264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878" w:rsidRPr="0089643D" w:rsidRDefault="00D348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Organizing committee address:</w:t>
      </w:r>
    </w:p>
    <w:p w:rsidR="00EB09E2" w:rsidRPr="0089643D" w:rsidRDefault="00634BE0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Department of Finance, Accounting and Economic Security</w:t>
      </w:r>
    </w:p>
    <w:p w:rsidR="00EB09E2" w:rsidRPr="0089643D" w:rsidRDefault="00444A96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EB09E2" w:rsidRPr="0089643D">
          <w:rPr>
            <w:rFonts w:ascii="Times New Roman" w:hAnsi="Times New Roman" w:cs="Times New Roman"/>
            <w:sz w:val="28"/>
            <w:szCs w:val="28"/>
            <w:lang w:val="en-US"/>
          </w:rPr>
          <w:t xml:space="preserve">Institute of </w:t>
        </w:r>
        <w:r w:rsidR="00634BE0" w:rsidRPr="0089643D">
          <w:rPr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EB09E2" w:rsidRPr="0089643D">
          <w:rPr>
            <w:rFonts w:ascii="Times New Roman" w:hAnsi="Times New Roman" w:cs="Times New Roman"/>
            <w:sz w:val="28"/>
            <w:szCs w:val="28"/>
            <w:lang w:val="en-US"/>
          </w:rPr>
          <w:t xml:space="preserve">conomics and </w:t>
        </w:r>
        <w:r w:rsidR="00634BE0" w:rsidRPr="0089643D">
          <w:rPr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EB09E2" w:rsidRPr="0089643D">
          <w:rPr>
            <w:rFonts w:ascii="Times New Roman" w:hAnsi="Times New Roman" w:cs="Times New Roman"/>
            <w:sz w:val="28"/>
            <w:szCs w:val="28"/>
            <w:lang w:val="en-US"/>
          </w:rPr>
          <w:t xml:space="preserve">usiness </w:t>
        </w:r>
        <w:r w:rsidR="00634BE0" w:rsidRPr="0089643D">
          <w:rPr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EB09E2" w:rsidRPr="0089643D">
          <w:rPr>
            <w:rFonts w:ascii="Times New Roman" w:hAnsi="Times New Roman" w:cs="Times New Roman"/>
            <w:sz w:val="28"/>
            <w:szCs w:val="28"/>
            <w:lang w:val="en-US"/>
          </w:rPr>
          <w:t>ducation</w:t>
        </w:r>
      </w:hyperlink>
      <w:r w:rsidR="00EB09E2" w:rsidRPr="0089643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34878" w:rsidRPr="0089643D" w:rsidRDefault="00D348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Pavlo</w:t>
      </w:r>
      <w:proofErr w:type="spellEnd"/>
      <w:r w:rsidR="0089643D"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Tychyna</w:t>
      </w:r>
      <w:proofErr w:type="spellEnd"/>
      <w:r w:rsidR="0089643D"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State Pedagogical University,</w:t>
      </w:r>
    </w:p>
    <w:p w:rsidR="00D34878" w:rsidRPr="0089643D" w:rsidRDefault="00D348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2,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Sadova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Street,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82847" w:rsidRPr="0089643D" w:rsidRDefault="00D348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Cherkassy region, </w:t>
      </w:r>
      <w:r w:rsidR="00382847" w:rsidRPr="0089643D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416978" w:rsidRPr="0089643D" w:rsidRDefault="00D348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20300.</w:t>
      </w:r>
    </w:p>
    <w:p w:rsidR="00416978" w:rsidRPr="0089643D" w:rsidRDefault="004169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978" w:rsidRPr="0089643D" w:rsidRDefault="00D348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Inquiry phone numbers in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Uman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6978" w:rsidRPr="0089643D" w:rsidRDefault="00416978" w:rsidP="00BC610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0 (4744) 5 20 80, </w:t>
      </w:r>
    </w:p>
    <w:p w:rsidR="00416978" w:rsidRPr="0089643D" w:rsidRDefault="00416978" w:rsidP="00BC610E">
      <w:pPr>
        <w:spacing w:after="0" w:line="264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097 618 89 </w:t>
      </w:r>
      <w:proofErr w:type="spellStart"/>
      <w:r w:rsidRPr="0089643D">
        <w:rPr>
          <w:rFonts w:ascii="Times New Roman" w:hAnsi="Times New Roman" w:cs="Times New Roman"/>
          <w:sz w:val="28"/>
          <w:szCs w:val="28"/>
          <w:lang w:val="en-US"/>
        </w:rPr>
        <w:t>89</w:t>
      </w:r>
      <w:proofErr w:type="spellEnd"/>
      <w:r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34878" w:rsidRPr="0089643D">
        <w:rPr>
          <w:rFonts w:ascii="Times New Roman" w:hAnsi="Times New Roman" w:cs="Times New Roman"/>
          <w:sz w:val="28"/>
          <w:szCs w:val="28"/>
          <w:lang w:val="en-US"/>
        </w:rPr>
        <w:t>Liudmila</w:t>
      </w:r>
      <w:proofErr w:type="spellEnd"/>
      <w:r w:rsidR="0089643D" w:rsidRPr="00896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4878" w:rsidRPr="0089643D">
        <w:rPr>
          <w:rFonts w:ascii="Times New Roman" w:hAnsi="Times New Roman" w:cs="Times New Roman"/>
          <w:sz w:val="28"/>
          <w:szCs w:val="28"/>
          <w:lang w:val="en-US"/>
        </w:rPr>
        <w:t>Chvertko</w:t>
      </w:r>
      <w:proofErr w:type="spellEnd"/>
    </w:p>
    <w:p w:rsidR="00D34878" w:rsidRPr="0089643D" w:rsidRDefault="00D34878" w:rsidP="00BC610E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34878" w:rsidRPr="0089643D" w:rsidRDefault="00D34878" w:rsidP="00BC610E">
      <w:pPr>
        <w:spacing w:after="0" w:line="264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sz w:val="28"/>
          <w:szCs w:val="28"/>
          <w:lang w:val="en-US"/>
        </w:rPr>
        <w:t>Е-mail:</w:t>
      </w:r>
      <w:r w:rsidRPr="008964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fin_kafedra2015@ukr.net</w:t>
      </w:r>
    </w:p>
    <w:p w:rsidR="00416978" w:rsidRPr="0089643D" w:rsidRDefault="00416978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6978" w:rsidRPr="0089643D" w:rsidRDefault="00416978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6978" w:rsidRPr="0089643D" w:rsidRDefault="00D34878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9643D">
        <w:rPr>
          <w:rFonts w:ascii="Times New Roman" w:hAnsi="Times New Roman" w:cs="Times New Roman"/>
          <w:b/>
          <w:i/>
          <w:sz w:val="28"/>
          <w:szCs w:val="28"/>
          <w:lang w:val="en-US"/>
        </w:rPr>
        <w:t>We invite everyone to participate in the International Scientific and Practical</w:t>
      </w:r>
      <w:r w:rsidR="008964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643D">
        <w:rPr>
          <w:rFonts w:ascii="Times New Roman" w:hAnsi="Times New Roman" w:cs="Times New Roman"/>
          <w:b/>
          <w:i/>
          <w:sz w:val="28"/>
          <w:szCs w:val="28"/>
          <w:lang w:val="en-US"/>
        </w:rPr>
        <w:t>conference!</w:t>
      </w:r>
    </w:p>
    <w:p w:rsidR="00416978" w:rsidRPr="0089643D" w:rsidRDefault="00416978" w:rsidP="00BC610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73C13" w:rsidRPr="0089643D" w:rsidRDefault="00C73C13" w:rsidP="00BC610E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3C13" w:rsidRPr="0089643D" w:rsidSect="00416978"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E60"/>
    <w:multiLevelType w:val="hybridMultilevel"/>
    <w:tmpl w:val="C49639F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">
    <w:nsid w:val="59BC4961"/>
    <w:multiLevelType w:val="hybridMultilevel"/>
    <w:tmpl w:val="C49639F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6978"/>
    <w:rsid w:val="00044665"/>
    <w:rsid w:val="00090398"/>
    <w:rsid w:val="000D2D9F"/>
    <w:rsid w:val="00382847"/>
    <w:rsid w:val="003C406B"/>
    <w:rsid w:val="00416978"/>
    <w:rsid w:val="00444A96"/>
    <w:rsid w:val="0061193E"/>
    <w:rsid w:val="00634BE0"/>
    <w:rsid w:val="00676333"/>
    <w:rsid w:val="0089643D"/>
    <w:rsid w:val="009B75EB"/>
    <w:rsid w:val="00A50692"/>
    <w:rsid w:val="00AB0A3B"/>
    <w:rsid w:val="00BC610E"/>
    <w:rsid w:val="00C73C13"/>
    <w:rsid w:val="00C90EEF"/>
    <w:rsid w:val="00C91752"/>
    <w:rsid w:val="00D15F24"/>
    <w:rsid w:val="00D34878"/>
    <w:rsid w:val="00E42F88"/>
    <w:rsid w:val="00E65D58"/>
    <w:rsid w:val="00EB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5F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D1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09E2"/>
    <w:rPr>
      <w:color w:val="0000FF"/>
      <w:u w:val="single"/>
    </w:rPr>
  </w:style>
  <w:style w:type="character" w:customStyle="1" w:styleId="hps">
    <w:name w:val="hps"/>
    <w:basedOn w:val="a0"/>
    <w:rsid w:val="0038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.udpu.org.ua/en/" TargetMode="External"/><Relationship Id="rId5" Type="http://schemas.openxmlformats.org/officeDocument/2006/relationships/hyperlink" Target="http://econom.udpu.org.ua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2015-09-25T14:46:00Z</dcterms:created>
  <dcterms:modified xsi:type="dcterms:W3CDTF">2015-09-29T19:32:00Z</dcterms:modified>
</cp:coreProperties>
</file>